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1.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word/header2.xml" ContentType="application/vnd.openxmlformats-officedocument.wordprocessingml.head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0" w:after="80"/>
        <w:jc w:val="center"/>
        <w:rPr>
          <w:b/>
          <w:bCs/>
          <w:color w:val="000000"/>
          <w:sz w:val="36"/>
          <w:szCs w:val="36"/>
          <w:lang w:val="en-US"/>
        </w:rPr>
      </w:pPr>
      <w:r>
        <w:rPr>
          <w:b/>
          <w:bCs/>
          <w:color w:val="000000"/>
          <w:sz w:val="36"/>
          <w:szCs w:val="36"/>
          <w:lang w:val="en-US"/>
        </w:rPr>
      </w:r>
    </w:p>
    <w:p>
      <w:pPr>
        <w:pStyle w:val="Heading1"/>
        <w:spacing w:before="0" w:after="80"/>
        <w:jc w:val="center"/>
        <w:rPr>
          <w:b/>
          <w:bCs/>
          <w:color w:val="000000"/>
          <w:sz w:val="36"/>
          <w:szCs w:val="36"/>
          <w:lang w:val="en-US"/>
        </w:rPr>
      </w:pPr>
      <w:r>
        <w:rPr>
          <w:b/>
          <w:bCs/>
          <w:color w:val="000000"/>
          <w:sz w:val="36"/>
          <w:szCs w:val="36"/>
          <w:lang w:val="en-US"/>
        </w:rPr>
      </w:r>
    </w:p>
    <w:p>
      <w:pPr>
        <w:pStyle w:val="Heading1"/>
        <w:spacing w:before="0" w:after="80"/>
        <w:jc w:val="center"/>
        <w:rPr>
          <w:b/>
          <w:bCs/>
          <w:color w:val="000000"/>
          <w:sz w:val="36"/>
          <w:szCs w:val="36"/>
          <w:lang w:val="en-US"/>
        </w:rPr>
      </w:pPr>
      <w:r>
        <w:rPr>
          <w:b/>
          <w:bCs/>
          <w:color w:val="000000"/>
          <w:sz w:val="36"/>
          <w:szCs w:val="36"/>
          <w:lang w:val="en-US"/>
        </w:rPr>
        <w:t xml:space="preserve">CALL FOR PAPERS </w:t>
      </w:r>
    </w:p>
    <w:p>
      <w:pPr>
        <w:pStyle w:val="Heading1"/>
        <w:spacing w:before="0" w:after="80"/>
        <w:jc w:val="center"/>
        <w:rPr>
          <w:lang w:val="en-US"/>
        </w:rPr>
      </w:pPr>
      <w:r>
        <w:rPr>
          <w:b/>
          <w:bCs/>
          <w:color w:val="000000"/>
          <w:sz w:val="36"/>
          <w:szCs w:val="36"/>
          <w:lang w:val="en-US"/>
        </w:rPr>
        <w:t xml:space="preserve">Mediterranean </w:t>
      </w:r>
      <w:r>
        <w:rPr>
          <w:b/>
          <w:bCs/>
          <w:color w:val="000000"/>
          <w:sz w:val="36"/>
          <w:szCs w:val="36"/>
          <w:lang w:val="en-US"/>
        </w:rPr>
        <w:t>M</w:t>
      </w:r>
      <w:r>
        <w:rPr>
          <w:b/>
          <w:bCs/>
          <w:color w:val="000000"/>
          <w:sz w:val="36"/>
          <w:szCs w:val="36"/>
          <w:lang w:val="en-US"/>
        </w:rPr>
        <w:t>u</w:t>
      </w:r>
      <w:r>
        <w:rPr>
          <w:b/>
          <w:bCs/>
          <w:color w:val="000000"/>
          <w:sz w:val="36"/>
          <w:szCs w:val="36"/>
          <w:lang w:val="en-US"/>
        </w:rPr>
        <w:t>sic Conference</w:t>
      </w:r>
      <w:r>
        <w:rPr>
          <w:b/>
          <w:bCs/>
          <w:color w:val="000000"/>
          <w:sz w:val="36"/>
          <w:szCs w:val="36"/>
          <w:lang w:val="en-US"/>
        </w:rPr>
        <w:t xml:space="preserve"> Matera 2026</w:t>
      </w:r>
    </w:p>
    <w:p>
      <w:pPr>
        <w:pStyle w:val="Normal"/>
        <w:spacing w:before="0" w:after="60"/>
        <w:jc w:val="center"/>
        <w:rPr>
          <w:lang w:val="en-US"/>
        </w:rPr>
      </w:pPr>
      <w:r>
        <w:rPr>
          <w:b/>
          <w:bCs/>
          <w:sz w:val="26"/>
          <w:szCs w:val="26"/>
          <w:lang w:val="en-US"/>
        </w:rPr>
        <w:t xml:space="preserve">Matera, Italy 30 October – </w:t>
      </w:r>
      <w:r>
        <w:rPr>
          <w:b/>
          <w:bCs/>
          <w:sz w:val="26"/>
          <w:szCs w:val="26"/>
          <w:lang w:val="en-US"/>
        </w:rPr>
        <w:t>1</w:t>
      </w:r>
      <w:r>
        <w:rPr>
          <w:b/>
          <w:bCs/>
          <w:sz w:val="26"/>
          <w:szCs w:val="26"/>
          <w:lang w:val="en-US"/>
        </w:rPr>
        <w:t xml:space="preserve"> November 2026</w:t>
      </w:r>
    </w:p>
    <w:p>
      <w:pPr>
        <w:pStyle w:val="Normal"/>
        <w:pBdr>
          <w:bottom w:val="single" w:sz="6" w:space="8" w:color="AAAAAA"/>
        </w:pBdr>
        <w:spacing w:before="0" w:after="400"/>
        <w:jc w:val="center"/>
        <w:rPr>
          <w:lang w:val="en-US"/>
        </w:rPr>
      </w:pPr>
      <w:r>
        <w:rPr>
          <w:i/>
          <w:iCs/>
          <w:color w:val="555555"/>
          <w:lang w:val="en-US"/>
        </w:rPr>
        <w:t>“</w:t>
      </w:r>
      <w:r>
        <w:rPr>
          <w:i/>
          <w:iCs/>
          <w:color w:val="555555"/>
          <w:lang w:val="en-US"/>
        </w:rPr>
        <w:t>Matera Capital of Mediterranean Culture and Dialogue 2026”</w:t>
      </w:r>
    </w:p>
    <w:p>
      <w:pPr>
        <w:pStyle w:val="Normal"/>
        <w:spacing w:lineRule="auto" w:line="276" w:before="0" w:after="160"/>
        <w:jc w:val="both"/>
        <w:rPr>
          <w:lang w:val="en-US"/>
        </w:rPr>
      </w:pPr>
      <w:r>
        <w:rPr>
          <w:lang w:val="en-US"/>
        </w:rPr>
        <w:t>The International Musicological Society will celebrate its first centenary in 2027:</w:t>
      </w:r>
      <w:r>
        <w:rPr>
          <w:color w:val="000000"/>
          <w:lang w:val="en-US"/>
        </w:rPr>
        <w:t xml:space="preserve">  </w:t>
      </w:r>
      <w:bookmarkStart w:id="0" w:name="tw-target-text"/>
      <w:bookmarkEnd w:id="0"/>
      <w:r>
        <w:rPr>
          <w:b w:val="false"/>
          <w:i w:val="false"/>
          <w:caps w:val="false"/>
          <w:smallCaps w:val="false"/>
          <w:color w:val="000000"/>
          <w:spacing w:val="0"/>
          <w:sz w:val="22"/>
          <w:szCs w:val="22"/>
          <w:lang w:val="en-US"/>
        </w:rPr>
        <w:t>a long and successful history based on international collaboration between scholars from all over the globe.</w:t>
      </w:r>
      <w:r>
        <w:rPr>
          <w:b w:val="false"/>
          <w:i w:val="false"/>
          <w:caps w:val="false"/>
          <w:smallCaps w:val="false"/>
          <w:color w:val="158466"/>
          <w:spacing w:val="0"/>
          <w:sz w:val="22"/>
          <w:szCs w:val="22"/>
          <w:lang w:val="en-US"/>
        </w:rPr>
        <w:t xml:space="preserve"> </w:t>
      </w:r>
      <w:r>
        <w:rPr>
          <w:lang w:val="en-US"/>
        </w:rPr>
        <w:t xml:space="preserve">In 2016, for the first time, the IMS organized a conference in Naples (Italy) together with the Study Group of its sister association ICTMD, on a Mediterranean theme: “Musicians of the Mediterranean: Narratives of Movement”. On that occasion the IMS SG “Mediterranean Music Studies” was founded, bearing the same name as its counterpart SG within ICTMD. Since then, the IMS Mediterranean Group has organized conferences and study meetings almost every year in different places around the Mediterranean: Cyprus, Lebanon, Greece, Croatia, Spain and Malta, </w:t>
      </w:r>
      <w:r>
        <w:rPr>
          <w:color w:val="000000"/>
          <w:lang w:val="en-US"/>
        </w:rPr>
        <w:t>until</w:t>
      </w:r>
      <w:r>
        <w:rPr>
          <w:color w:val="00A933"/>
          <w:lang w:val="en-US"/>
        </w:rPr>
        <w:t xml:space="preserve"> </w:t>
      </w:r>
      <w:r>
        <w:rPr>
          <w:lang w:val="en-US"/>
        </w:rPr>
        <w:t>the major IMS Intercongressional Symposium held in Valencia in 2025 and devoted to “Global Mediterranean. Postcolonial Music Histories (16th–20th Centuries)”, organized by Andrea Bombi at the Universidad de Valencia. In addition, in 2022 in Athens, the subgroup “Circulation of Opera and Operatic Companies around Mediterranean Theatres” was created, co-chaired by Dinko Fabris and Maria Rosa De Luca. Over time, other study groups devoted to the Mediterranean have come into being within the IMS: “Early African Sound Worlds” (co-chairs Camilla Cavicchi and Janie Cole); “Music in the Muslim Worlds” (co-chairs Salvatore Morra and Kawkab Tawfik) and “Music of the Christian East and Orient” (chair Maria Alexandru). This testifies to the great interest of international musicology in the Mediterranean, a historically crucial space for dialogue between cultures, religions and musics, at a moment of considerable geopolitical fragility.</w:t>
      </w:r>
    </w:p>
    <w:p>
      <w:pPr>
        <w:pStyle w:val="Normal"/>
        <w:spacing w:lineRule="auto" w:line="276" w:before="0" w:after="160"/>
        <w:jc w:val="both"/>
        <w:rPr/>
      </w:pPr>
      <w:r>
        <w:rPr>
          <w:lang w:val="en-US"/>
        </w:rPr>
        <w:t>In 2026, the year in which Matera is Capital of Mediterranean Culture and Dialogue, the newly established Inter-University Observatory on Mediterranean</w:t>
      </w:r>
      <w:r>
        <w:rPr>
          <w:color w:val="00A933"/>
          <w:lang w:val="en-US"/>
        </w:rPr>
        <w:t xml:space="preserve"> </w:t>
      </w:r>
      <w:r>
        <w:rPr>
          <w:color w:val="000000"/>
          <w:lang w:val="en-US"/>
        </w:rPr>
        <w:t xml:space="preserve">Musics </w:t>
      </w:r>
      <w:r>
        <w:rPr>
          <w:color w:val="00A933"/>
          <w:lang w:val="en-US"/>
        </w:rPr>
        <w:t xml:space="preserve"> </w:t>
      </w:r>
      <w:r>
        <w:rPr>
          <w:lang w:val="en-US"/>
        </w:rPr>
        <w:t xml:space="preserve">— created at the Matera campus of the University of Basilicata, in collaboration with the Universities of Catania and Salento — is organizing </w:t>
      </w:r>
      <w:r>
        <w:rPr>
          <w:color w:val="000000"/>
          <w:lang w:val="en-US"/>
        </w:rPr>
        <w:t xml:space="preserve">a new </w:t>
      </w:r>
      <w:r>
        <w:rPr>
          <w:lang w:val="en-US"/>
        </w:rPr>
        <w:t xml:space="preserve"> Conference on the Mediterranean, from 30 October to </w:t>
      </w:r>
      <w:r>
        <w:rPr>
          <w:lang w:val="en-US"/>
        </w:rPr>
        <w:t>1</w:t>
      </w:r>
      <w:r>
        <w:rPr>
          <w:lang w:val="en-US"/>
        </w:rPr>
        <w:t xml:space="preserve"> November </w:t>
      </w:r>
      <w:r>
        <w:rPr>
          <w:color w:val="000000"/>
          <w:lang w:val="en-US"/>
        </w:rPr>
        <w:t>2026</w:t>
      </w:r>
      <w:r>
        <w:rPr>
          <w:lang w:val="en-US"/>
        </w:rPr>
        <w:t>, thanks to the joint effort of four</w:t>
      </w:r>
      <w:r>
        <w:rPr>
          <w:color w:val="00A933"/>
          <w:lang w:val="en-US"/>
        </w:rPr>
        <w:t xml:space="preserve"> </w:t>
      </w:r>
      <w:r>
        <w:rPr>
          <w:color w:val="000000"/>
          <w:lang w:val="en-US"/>
        </w:rPr>
        <w:t>“Mediterranean”</w:t>
      </w:r>
      <w:r>
        <w:rPr>
          <w:color w:val="00A933"/>
          <w:lang w:val="en-US"/>
        </w:rPr>
        <w:t xml:space="preserve"> </w:t>
      </w:r>
      <w:r>
        <w:rPr>
          <w:color w:val="000000"/>
          <w:lang w:val="en-US"/>
        </w:rPr>
        <w:t>IMS</w:t>
      </w:r>
      <w:r>
        <w:rPr>
          <w:color w:val="00A933"/>
          <w:lang w:val="en-US"/>
        </w:rPr>
        <w:t xml:space="preserve"> </w:t>
      </w:r>
      <w:r>
        <w:rPr>
          <w:lang w:val="en-US"/>
        </w:rPr>
        <w:t xml:space="preserve">Study Groups. The themes of the Conference relate primarily to the activities and aims of those groups, but proposals may address any musical subject connected with the Mediterranean, from any period and any place. </w:t>
      </w:r>
      <w:r>
        <w:rPr/>
        <w:t>The following topics are suggested, though not exclusive:</w:t>
      </w:r>
    </w:p>
    <w:p>
      <w:pPr>
        <w:pStyle w:val="ListParagraph"/>
        <w:numPr>
          <w:ilvl w:val="0"/>
          <w:numId w:val="4"/>
        </w:numPr>
        <w:spacing w:lineRule="auto" w:line="276" w:before="0" w:after="80"/>
        <w:rPr>
          <w:lang w:val="en-US"/>
        </w:rPr>
      </w:pPr>
      <w:r>
        <w:rPr>
          <w:lang w:val="en-US"/>
        </w:rPr>
        <w:t>Music and Otherness in the Mediterranean World</w:t>
      </w:r>
    </w:p>
    <w:p>
      <w:pPr>
        <w:pStyle w:val="ListParagraph"/>
        <w:numPr>
          <w:ilvl w:val="0"/>
          <w:numId w:val="2"/>
        </w:numPr>
        <w:spacing w:lineRule="auto" w:line="276" w:before="0" w:after="80"/>
        <w:rPr>
          <w:lang w:val="en-US"/>
        </w:rPr>
      </w:pPr>
      <w:r>
        <w:rPr>
          <w:lang w:val="en-US"/>
        </w:rPr>
        <w:t>Functions of music in the Mediterranean: rites, rituality, and practices connected with the symbolic or sacred dimension</w:t>
      </w:r>
    </w:p>
    <w:p>
      <w:pPr>
        <w:pStyle w:val="ListParagraph"/>
        <w:numPr>
          <w:ilvl w:val="0"/>
          <w:numId w:val="2"/>
        </w:numPr>
        <w:spacing w:lineRule="auto" w:line="276" w:before="0" w:after="80"/>
        <w:rPr/>
      </w:pPr>
      <w:r>
        <w:rPr/>
        <w:t>The enlarged Mediterranean</w:t>
      </w:r>
    </w:p>
    <w:p>
      <w:pPr>
        <w:pStyle w:val="Normal"/>
        <w:spacing w:lineRule="auto" w:line="276" w:before="0" w:after="80"/>
        <w:rPr/>
      </w:pPr>
      <w:r>
        <w:rPr/>
      </w:r>
    </w:p>
    <w:p>
      <w:pPr>
        <w:pStyle w:val="Normal"/>
        <w:spacing w:lineRule="auto" w:line="276" w:before="0" w:after="80"/>
        <w:rPr/>
      </w:pPr>
      <w:r>
        <w:rPr/>
      </w:r>
    </w:p>
    <w:p>
      <w:pPr>
        <w:pStyle w:val="Normal"/>
        <w:spacing w:lineRule="auto" w:line="276" w:before="0" w:after="80"/>
        <w:rPr/>
      </w:pPr>
      <w:r>
        <w:rPr/>
      </w:r>
    </w:p>
    <w:p>
      <w:pPr>
        <w:pStyle w:val="ListParagraph"/>
        <w:numPr>
          <w:ilvl w:val="0"/>
          <w:numId w:val="2"/>
        </w:numPr>
        <w:spacing w:lineRule="auto" w:line="276" w:before="0" w:after="80"/>
        <w:rPr>
          <w:lang w:val="en-US"/>
        </w:rPr>
      </w:pPr>
      <w:r>
        <w:rPr>
          <w:lang w:val="en-US"/>
        </w:rPr>
        <w:t>Music and Intercultural Dialogues in the Mediterranean</w:t>
      </w:r>
    </w:p>
    <w:p>
      <w:pPr>
        <w:pStyle w:val="PreformattedText"/>
        <w:numPr>
          <w:ilvl w:val="0"/>
          <w:numId w:val="2"/>
        </w:numPr>
        <w:spacing w:lineRule="auto" w:line="276" w:before="0" w:after="80"/>
        <w:rPr>
          <w:color w:val="000000"/>
        </w:rPr>
      </w:pPr>
      <w:bookmarkStart w:id="1" w:name="tw-target-text_Copy_1"/>
      <w:bookmarkEnd w:id="1"/>
      <w:r>
        <w:rPr>
          <w:rFonts w:ascii="Calibri" w:hAnsi="Calibri"/>
          <w:b w:val="false"/>
          <w:i w:val="false"/>
          <w:caps w:val="false"/>
          <w:smallCaps w:val="false"/>
          <w:color w:val="000000"/>
          <w:spacing w:val="0"/>
          <w:sz w:val="22"/>
          <w:szCs w:val="22"/>
          <w:lang w:val="en-US"/>
        </w:rPr>
        <w:t>Music, Politics, Violence: National Anthems, Nationalism, and Colonialism</w:t>
      </w:r>
    </w:p>
    <w:p>
      <w:pPr>
        <w:pStyle w:val="PreformattedText"/>
        <w:numPr>
          <w:ilvl w:val="0"/>
          <w:numId w:val="2"/>
        </w:numPr>
        <w:spacing w:lineRule="auto" w:line="276" w:before="0" w:after="80"/>
        <w:rPr>
          <w:color w:val="000000"/>
        </w:rPr>
      </w:pPr>
      <w:r>
        <w:rPr>
          <w:rFonts w:ascii="Calibri" w:hAnsi="Calibri"/>
          <w:b w:val="false"/>
          <w:i w:val="false"/>
          <w:caps w:val="false"/>
          <w:smallCaps w:val="false"/>
          <w:color w:val="000000"/>
          <w:spacing w:val="0"/>
          <w:sz w:val="22"/>
          <w:szCs w:val="22"/>
          <w:lang w:val="en-US"/>
        </w:rPr>
        <w:t>Music education, models and institutions</w:t>
      </w:r>
    </w:p>
    <w:p>
      <w:pPr>
        <w:pStyle w:val="ListParagraph"/>
        <w:numPr>
          <w:ilvl w:val="0"/>
          <w:numId w:val="2"/>
        </w:numPr>
        <w:spacing w:lineRule="auto" w:line="276" w:before="0" w:after="80"/>
        <w:rPr>
          <w:lang w:val="en-US"/>
        </w:rPr>
      </w:pPr>
      <w:r>
        <w:rPr>
          <w:lang w:val="en-US"/>
        </w:rPr>
        <w:t>Musicians and Musical Instruments of the Mediterranean</w:t>
      </w:r>
    </w:p>
    <w:p>
      <w:pPr>
        <w:pStyle w:val="ListParagraph"/>
        <w:numPr>
          <w:ilvl w:val="0"/>
          <w:numId w:val="2"/>
        </w:numPr>
        <w:spacing w:lineRule="auto" w:line="276" w:before="0" w:after="80"/>
        <w:rPr>
          <w:lang w:val="en-US"/>
        </w:rPr>
      </w:pPr>
      <w:r>
        <w:rPr>
          <w:lang w:val="en-US"/>
        </w:rPr>
        <w:t>Theatres and Circulation of Opera and operatic companies</w:t>
      </w:r>
    </w:p>
    <w:p>
      <w:pPr>
        <w:pStyle w:val="Normal"/>
        <w:spacing w:before="0" w:after="120"/>
        <w:rPr>
          <w:lang w:val="en-US"/>
        </w:rPr>
      </w:pPr>
      <w:r>
        <w:rPr>
          <w:lang w:val="en-US"/>
        </w:rPr>
      </w:r>
    </w:p>
    <w:p>
      <w:pPr>
        <w:pStyle w:val="Normal"/>
        <w:spacing w:lineRule="auto" w:line="276" w:before="0" w:after="160"/>
        <w:jc w:val="both"/>
        <w:rPr>
          <w:lang w:val="en-US"/>
        </w:rPr>
      </w:pPr>
      <w:r>
        <w:rPr>
          <w:lang w:val="en-US"/>
        </w:rPr>
        <w:t>Scholars wishing to take part may submit proposals in the form of an abstract of no more than 400 words, accompanied by a bio of 200 words. The Scientific Committee is composed of the chairs of the four Mediterranean study groups of the IMS, and reserves the right to accept proposals and to assign each speaker to one of the sessions into which the Conference is organized. Online participation from remote is possible, although it would be a pity to miss the opportunity to visit a city as fascinating as Matera, with its millennial history, and only a short distance from Metaponto, the city of Magna Graecia on the Ionian Sea where Pythagoras arrived and died.</w:t>
      </w:r>
    </w:p>
    <w:p>
      <w:pPr>
        <w:pStyle w:val="Normal"/>
        <w:spacing w:lineRule="auto" w:line="276" w:before="0" w:after="160"/>
        <w:jc w:val="both"/>
        <w:rPr>
          <w:lang w:val="en-US"/>
        </w:rPr>
      </w:pPr>
      <w:r>
        <w:rPr>
          <w:lang w:val="en-US"/>
        </w:rPr>
        <w:t>No registration fee is required, but the Conference will not cover travel or accommodation expenses, except for the keynote speakers invited on the recommendation of the four Study Groups. On request, participants attending in person will be sent a letter of invitation that may be used to obtain funding from their own institutions. Accepted presenters will receive confirmation by email, together with a request to complete a participation form.</w:t>
      </w:r>
    </w:p>
    <w:p>
      <w:pPr>
        <w:pStyle w:val="Normal"/>
        <w:spacing w:before="240" w:after="160"/>
        <w:rPr>
          <w:lang w:val="en-US"/>
        </w:rPr>
      </w:pPr>
      <w:r>
        <w:rPr>
          <w:b/>
          <w:bCs/>
          <w:lang w:val="en-US"/>
        </w:rPr>
        <w:t>Proposals — abstract and bio — should be sent by</w:t>
      </w:r>
      <w:r>
        <w:rPr>
          <w:b/>
          <w:bCs/>
          <w:color w:val="000000"/>
          <w:lang w:val="en-US"/>
        </w:rPr>
        <w:t xml:space="preserve"> 25 </w:t>
      </w:r>
      <w:r>
        <w:rPr>
          <w:b/>
          <w:bCs/>
          <w:lang w:val="en-US"/>
        </w:rPr>
        <w:t>September 2026 to the following email addresses:</w:t>
      </w:r>
    </w:p>
    <w:p>
      <w:pPr>
        <w:pStyle w:val="Normal"/>
        <w:spacing w:before="0" w:after="40"/>
        <w:rPr>
          <w:lang w:val="en-US"/>
        </w:rPr>
      </w:pPr>
      <w:r>
        <w:rPr>
          <w:lang w:val="en-US"/>
        </w:rPr>
        <w:t xml:space="preserve">Dinko Fabris </w:t>
      </w:r>
      <w:hyperlink r:id="rId2">
        <w:r>
          <w:rPr>
            <w:rStyle w:val="Hyperlink"/>
            <w:sz w:val="20"/>
            <w:szCs w:val="20"/>
            <w:lang w:val="en-US"/>
          </w:rPr>
          <w:t>dinko.fabris@unibas.it</w:t>
        </w:r>
      </w:hyperlink>
      <w:r>
        <w:rPr>
          <w:sz w:val="20"/>
          <w:szCs w:val="20"/>
          <w:lang w:val="en-US"/>
        </w:rPr>
        <w:t xml:space="preserve">                           </w:t>
      </w:r>
    </w:p>
    <w:p>
      <w:pPr>
        <w:pStyle w:val="Normal"/>
        <w:spacing w:before="0" w:after="40"/>
        <w:rPr/>
      </w:pPr>
      <w:r>
        <w:rPr/>
        <w:t xml:space="preserve">Maria Rosa De Luca </w:t>
      </w:r>
      <w:hyperlink r:id="rId3">
        <w:r>
          <w:rPr>
            <w:rStyle w:val="Hyperlink"/>
            <w:sz w:val="20"/>
            <w:szCs w:val="20"/>
          </w:rPr>
          <w:t>mdeluca@unict</w:t>
        </w:r>
      </w:hyperlink>
    </w:p>
    <w:p>
      <w:pPr>
        <w:pStyle w:val="Normal"/>
        <w:spacing w:before="0" w:after="40"/>
        <w:rPr/>
      </w:pPr>
      <w:r>
        <w:rPr/>
        <w:t xml:space="preserve">Vania Cauzillo </w:t>
      </w:r>
      <w:hyperlink r:id="rId4">
        <w:r>
          <w:rPr>
            <w:rStyle w:val="Hyperlink"/>
          </w:rPr>
          <w:t>vania.cauzillo@unibas.it</w:t>
        </w:r>
      </w:hyperlink>
      <w:r>
        <w:rPr/>
        <w:t xml:space="preserve"> </w:t>
      </w:r>
    </w:p>
    <w:p>
      <w:pPr>
        <w:pStyle w:val="Normal"/>
        <w:spacing w:before="0" w:after="40"/>
        <w:rPr/>
      </w:pPr>
      <w:r>
        <w:rPr/>
      </w:r>
      <w:bookmarkStart w:id="2" w:name="_GoBack"/>
      <w:bookmarkStart w:id="3" w:name="_GoBack"/>
      <w:bookmarkEnd w:id="3"/>
    </w:p>
    <w:p>
      <w:pPr>
        <w:pStyle w:val="Normal"/>
        <w:spacing w:before="0" w:after="40"/>
        <w:rPr/>
      </w:pPr>
      <w:r>
        <w:rPr/>
      </w:r>
    </w:p>
    <w:p>
      <w:pPr>
        <w:pStyle w:val="Normal"/>
        <w:rPr>
          <w:rFonts w:hint="eastAsia"/>
          <w:sz w:val="20"/>
          <w:szCs w:val="20"/>
        </w:rPr>
      </w:pPr>
      <w:r>
        <w:rPr>
          <w:sz w:val="20"/>
          <w:szCs w:val="20"/>
        </w:rPr>
        <w:t xml:space="preserve">.                            </w:t>
      </w:r>
    </w:p>
    <w:p>
      <w:pPr>
        <w:pStyle w:val="Normal"/>
        <w:spacing w:before="0" w:after="40"/>
        <w:rPr/>
      </w:pPr>
      <w:r>
        <w:rPr/>
      </w:r>
    </w:p>
    <w:sectPr>
      <w:headerReference w:type="even" r:id="rId5"/>
      <w:headerReference w:type="default" r:id="rId6"/>
      <w:headerReference w:type="first" r:id="rId7"/>
      <w:type w:val="nextPage"/>
      <w:pgSz w:w="11906" w:h="16838"/>
      <w:pgMar w:left="1440" w:right="1440" w:gutter="0" w:header="708"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swiss"/>
    <w:pitch w:val="variable"/>
  </w:font>
  <w:font w:name="Liberation Sans">
    <w:altName w:val="Arial"/>
    <w:charset w:val="01" w:characterSet="utf-8"/>
    <w:family w:val="swiss"/>
    <w:pitch w:val="variable"/>
  </w:font>
  <w:font w:name="Liberation Mono">
    <w:altName w:val="Courier New"/>
    <w:charset w:val="01" w:characterSet="utf-8"/>
    <w:family w:val="swiss"/>
    <w:pitch w:val="variable"/>
  </w:font>
  <w:font w:name="times new roman">
    <w:altName w:val="serif"/>
    <w:charset w:val="01" w:characterSet="utf-8"/>
    <w:family w:val="swiss"/>
    <w:pitch w:val="variable"/>
  </w:font>
  <w:font w:name="times new roman">
    <w:altName w:val="serif"/>
    <w:charset w:val="01" w:characterSet="utf-8"/>
    <w:family w:val="roman"/>
    <w:pitch w:val="variable"/>
  </w:font>
  <w:font w:name="Symbol">
    <w:charset w:val="01"/>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rFonts w:ascii="times new roman;serif" w:hAnsi="times new roman;serif" w:hint="eastAsia"/>
        <w:color w:val="222222"/>
        <w:sz w:val="28"/>
      </w:rPr>
    </w:pPr>
    <w:r>
      <w:rPr>
        <w:rFonts w:hint="eastAsia" w:ascii="times new roman;serif" w:hAnsi="times new roman;serif"/>
        <w:color w:val="222222"/>
        <w:sz w:val="28"/>
      </w:rPr>
    </w:r>
  </w:p>
  <w:p>
    <w:pPr>
      <w:pStyle w:val="BodyText"/>
      <w:rPr>
        <w:rFonts w:ascii="times new roman;serif" w:hAnsi="times new roman;serif" w:hint="eastAsia"/>
        <w:color w:val="222222"/>
        <w:sz w:val="28"/>
      </w:rPr>
    </w:pPr>
    <w:r>
      <w:rPr>
        <w:rFonts w:hint="eastAsia" w:ascii="times new roman;serif" w:hAnsi="times new roman;serif"/>
        <w:color w:val="222222"/>
        <w:sz w:val="28"/>
      </w:rPr>
    </w:r>
  </w:p>
  <w:p>
    <w:pPr>
      <w:pStyle w:val="BodyText"/>
      <w:rPr>
        <w:rFonts w:ascii="times new roman;serif" w:hAnsi="times new roman;serif" w:hint="eastAsia"/>
        <w:color w:val="222222"/>
        <w:sz w:val="28"/>
      </w:rPr>
    </w:pPr>
    <w:r>
      <w:rPr>
        <w:rFonts w:hint="eastAsia" w:ascii="times new roman;serif" w:hAnsi="times new roman;serif"/>
        <w:color w:val="222222"/>
        <w:sz w:val="28"/>
      </w:rPr>
      <w:drawing>
        <wp:anchor distT="0" distB="0" distL="0" distR="0" simplePos="0" relativeHeight="3" behindDoc="1" locked="0" layoutInCell="0" allowOverlap="1">
          <wp:simplePos x="0" y="0"/>
          <wp:positionH relativeFrom="column">
            <wp:posOffset>2448560</wp:posOffset>
          </wp:positionH>
          <wp:positionV relativeFrom="paragraph">
            <wp:posOffset>140335</wp:posOffset>
          </wp:positionV>
          <wp:extent cx="1223645" cy="537845"/>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
                  <a:stretch>
                    <a:fillRect/>
                  </a:stretch>
                </pic:blipFill>
                <pic:spPr bwMode="auto">
                  <a:xfrm>
                    <a:off x="0" y="0"/>
                    <a:ext cx="1223645" cy="537845"/>
                  </a:xfrm>
                  <a:prstGeom prst="rect">
                    <a:avLst/>
                  </a:prstGeom>
                  <a:noFill/>
                </pic:spPr>
              </pic:pic>
            </a:graphicData>
          </a:graphic>
        </wp:anchor>
      </w:drawing>
      <w:drawing>
        <wp:anchor distT="0" distB="0" distL="0" distR="0" simplePos="0" relativeHeight="5" behindDoc="1" locked="0" layoutInCell="0" allowOverlap="1">
          <wp:simplePos x="0" y="0"/>
          <wp:positionH relativeFrom="column">
            <wp:posOffset>4816475</wp:posOffset>
          </wp:positionH>
          <wp:positionV relativeFrom="paragraph">
            <wp:posOffset>95885</wp:posOffset>
          </wp:positionV>
          <wp:extent cx="566420" cy="586740"/>
          <wp:effectExtent l="0" t="0" r="0" b="0"/>
          <wp:wrapSquare wrapText="largest"/>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2"/>
                  <a:srcRect l="34264" t="0" r="34233" b="0"/>
                  <a:stretch>
                    <a:fillRect/>
                  </a:stretch>
                </pic:blipFill>
                <pic:spPr bwMode="auto">
                  <a:xfrm>
                    <a:off x="0" y="0"/>
                    <a:ext cx="566420" cy="586740"/>
                  </a:xfrm>
                  <a:prstGeom prst="rect">
                    <a:avLst/>
                  </a:prstGeom>
                  <a:noFill/>
                </pic:spPr>
              </pic:pic>
            </a:graphicData>
          </a:graphic>
        </wp:anchor>
      </w:drawing>
      <w:drawing>
        <wp:anchor distT="0" distB="0" distL="0" distR="0" simplePos="0" relativeHeight="7" behindDoc="1" locked="0" layoutInCell="0" allowOverlap="1">
          <wp:simplePos x="0" y="0"/>
          <wp:positionH relativeFrom="column">
            <wp:posOffset>827405</wp:posOffset>
          </wp:positionH>
          <wp:positionV relativeFrom="paragraph">
            <wp:posOffset>193675</wp:posOffset>
          </wp:positionV>
          <wp:extent cx="652780" cy="287020"/>
          <wp:effectExtent l="0" t="0" r="0" b="0"/>
          <wp:wrapSquare wrapText="largest"/>
          <wp:docPr id="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3"/>
                  <a:stretch>
                    <a:fillRect/>
                  </a:stretch>
                </pic:blipFill>
                <pic:spPr bwMode="auto">
                  <a:xfrm>
                    <a:off x="0" y="0"/>
                    <a:ext cx="652780" cy="287020"/>
                  </a:xfrm>
                  <a:prstGeom prst="rect">
                    <a:avLst/>
                  </a:prstGeom>
                  <a:noFill/>
                </pic:spPr>
              </pic:pic>
            </a:graphicData>
          </a:graphic>
        </wp:anchor>
      </w:drawing>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rFonts w:ascii="times new roman;serif" w:hAnsi="times new roman;serif" w:hint="eastAsia"/>
        <w:color w:val="222222"/>
        <w:sz w:val="28"/>
      </w:rPr>
    </w:pPr>
    <w:r>
      <w:rPr>
        <w:rFonts w:hint="eastAsia" w:ascii="times new roman;serif" w:hAnsi="times new roman;serif"/>
        <w:color w:val="222222"/>
        <w:sz w:val="28"/>
      </w:rPr>
    </w:r>
  </w:p>
  <w:p>
    <w:pPr>
      <w:pStyle w:val="BodyText"/>
      <w:rPr>
        <w:rFonts w:ascii="times new roman;serif" w:hAnsi="times new roman;serif" w:hint="eastAsia"/>
        <w:color w:val="222222"/>
        <w:sz w:val="28"/>
      </w:rPr>
    </w:pPr>
    <w:r>
      <w:rPr>
        <w:rFonts w:hint="eastAsia" w:ascii="times new roman;serif" w:hAnsi="times new roman;serif"/>
        <w:color w:val="222222"/>
        <w:sz w:val="28"/>
      </w:rPr>
    </w:r>
  </w:p>
  <w:p>
    <w:pPr>
      <w:pStyle w:val="BodyText"/>
      <w:rPr>
        <w:rFonts w:ascii="times new roman;serif" w:hAnsi="times new roman;serif" w:hint="eastAsia"/>
        <w:color w:val="222222"/>
        <w:sz w:val="28"/>
      </w:rPr>
    </w:pPr>
    <w:r>
      <w:rPr>
        <w:rFonts w:hint="eastAsia" w:ascii="times new roman;serif" w:hAnsi="times new roman;serif"/>
        <w:color w:val="222222"/>
        <w:sz w:val="28"/>
      </w:rPr>
      <w:drawing>
        <wp:anchor distT="0" distB="0" distL="0" distR="0" simplePos="0" relativeHeight="3" behindDoc="1" locked="0" layoutInCell="0" allowOverlap="1">
          <wp:simplePos x="0" y="0"/>
          <wp:positionH relativeFrom="column">
            <wp:posOffset>2448560</wp:posOffset>
          </wp:positionH>
          <wp:positionV relativeFrom="paragraph">
            <wp:posOffset>140335</wp:posOffset>
          </wp:positionV>
          <wp:extent cx="1223645" cy="537845"/>
          <wp:effectExtent l="0" t="0" r="0" b="0"/>
          <wp:wrapSquare wrapText="largest"/>
          <wp:docPr id="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pic:cNvPicPr>
                    <a:picLocks noChangeAspect="1" noChangeArrowheads="1"/>
                  </pic:cNvPicPr>
                </pic:nvPicPr>
                <pic:blipFill>
                  <a:blip r:embed="rId1"/>
                  <a:stretch>
                    <a:fillRect/>
                  </a:stretch>
                </pic:blipFill>
                <pic:spPr bwMode="auto">
                  <a:xfrm>
                    <a:off x="0" y="0"/>
                    <a:ext cx="1223645" cy="537845"/>
                  </a:xfrm>
                  <a:prstGeom prst="rect">
                    <a:avLst/>
                  </a:prstGeom>
                  <a:noFill/>
                </pic:spPr>
              </pic:pic>
            </a:graphicData>
          </a:graphic>
        </wp:anchor>
      </w:drawing>
      <w:drawing>
        <wp:anchor distT="0" distB="0" distL="0" distR="0" simplePos="0" relativeHeight="5" behindDoc="1" locked="0" layoutInCell="0" allowOverlap="1">
          <wp:simplePos x="0" y="0"/>
          <wp:positionH relativeFrom="column">
            <wp:posOffset>4816475</wp:posOffset>
          </wp:positionH>
          <wp:positionV relativeFrom="paragraph">
            <wp:posOffset>95885</wp:posOffset>
          </wp:positionV>
          <wp:extent cx="566420" cy="586740"/>
          <wp:effectExtent l="0" t="0" r="0" b="0"/>
          <wp:wrapSquare wrapText="largest"/>
          <wp:docPr id="5"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pic:cNvPicPr>
                    <a:picLocks noChangeAspect="1" noChangeArrowheads="1"/>
                  </pic:cNvPicPr>
                </pic:nvPicPr>
                <pic:blipFill>
                  <a:blip r:embed="rId2"/>
                  <a:srcRect l="34264" t="0" r="34233" b="0"/>
                  <a:stretch>
                    <a:fillRect/>
                  </a:stretch>
                </pic:blipFill>
                <pic:spPr bwMode="auto">
                  <a:xfrm>
                    <a:off x="0" y="0"/>
                    <a:ext cx="566420" cy="586740"/>
                  </a:xfrm>
                  <a:prstGeom prst="rect">
                    <a:avLst/>
                  </a:prstGeom>
                  <a:noFill/>
                </pic:spPr>
              </pic:pic>
            </a:graphicData>
          </a:graphic>
        </wp:anchor>
      </w:drawing>
      <w:drawing>
        <wp:anchor distT="0" distB="0" distL="0" distR="0" simplePos="0" relativeHeight="7" behindDoc="1" locked="0" layoutInCell="0" allowOverlap="1">
          <wp:simplePos x="0" y="0"/>
          <wp:positionH relativeFrom="column">
            <wp:posOffset>827405</wp:posOffset>
          </wp:positionH>
          <wp:positionV relativeFrom="paragraph">
            <wp:posOffset>193675</wp:posOffset>
          </wp:positionV>
          <wp:extent cx="652780" cy="287020"/>
          <wp:effectExtent l="0" t="0" r="0" b="0"/>
          <wp:wrapSquare wrapText="largest"/>
          <wp:docPr id="6"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
                  <pic:cNvPicPr>
                    <a:picLocks noChangeAspect="1" noChangeArrowheads="1"/>
                  </pic:cNvPicPr>
                </pic:nvPicPr>
                <pic:blipFill>
                  <a:blip r:embed="rId3"/>
                  <a:stretch>
                    <a:fillRect/>
                  </a:stretch>
                </pic:blipFill>
                <pic:spPr bwMode="auto">
                  <a:xfrm>
                    <a:off x="0" y="0"/>
                    <a:ext cx="652780" cy="287020"/>
                  </a:xfrm>
                  <a:prstGeom prst="rect">
                    <a:avLst/>
                  </a:prstGeom>
                  <a:noFill/>
                </pic:spPr>
              </pic:pic>
            </a:graphicData>
          </a:graphic>
        </wp:anchor>
      </w:drawing>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504" w:hanging="288"/>
      </w:pPr>
      <w:rPr>
        <w:rFonts w:ascii="Symbol" w:hAnsi="Symbol" w:cs="Symbol" w:hint="default"/>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2">
    <w:lvl w:ilvl="0">
      <w:start w:val="1"/>
      <w:numFmt w:val="bullet"/>
      <w:lvlText w:val=""/>
      <w:lvlJc w:val="start"/>
      <w:pPr>
        <w:tabs>
          <w:tab w:val="num" w:pos="0"/>
        </w:tabs>
        <w:ind w:start="504" w:hanging="288"/>
      </w:pPr>
      <w:rPr>
        <w:rFonts w:ascii="Symbol" w:hAnsi="Symbol" w:cs="Symbol" w:hint="default"/>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2"/>
    <w:lvlOverride w:ilvl="0">
      <w:startOverride w:val="1"/>
    </w:lvlOverride>
  </w:num>
</w:numbering>
</file>

<file path=word/settings.xml><?xml version="1.0" encoding="utf-8"?>
<w:settings xmlns:w="http://schemas.openxmlformats.org/wordprocessingml/2006/main">
  <w:zoom w:percent="151"/>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it-IT" w:eastAsia="it-IT"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suppressAutoHyphens w:val="true"/>
      <w:bidi w:val="0"/>
      <w:spacing w:before="0" w:after="0"/>
      <w:jc w:val="start"/>
    </w:pPr>
    <w:rPr>
      <w:rFonts w:ascii="Calibri" w:hAnsi="Calibri" w:eastAsia="Calibri" w:cs="Calibri"/>
      <w:color w:val="auto"/>
      <w:kern w:val="0"/>
      <w:sz w:val="22"/>
      <w:szCs w:val="22"/>
      <w:lang w:val="it-IT" w:eastAsia="it-IT" w:bidi="ar-SA"/>
    </w:rPr>
  </w:style>
  <w:style w:type="paragraph" w:styleId="Heading1">
    <w:name w:val="heading 1"/>
    <w:uiPriority w:val="9"/>
    <w:qFormat/>
    <w:pPr>
      <w:widowControl/>
      <w:suppressAutoHyphens w:val="true"/>
      <w:bidi w:val="0"/>
      <w:spacing w:before="0" w:after="0"/>
      <w:jc w:val="start"/>
      <w:outlineLvl w:val="0"/>
    </w:pPr>
    <w:rPr>
      <w:rFonts w:ascii="Calibri" w:hAnsi="Calibri" w:eastAsia="Calibri" w:cs="Calibri"/>
      <w:color w:val="2E74B5"/>
      <w:kern w:val="0"/>
      <w:sz w:val="32"/>
      <w:szCs w:val="32"/>
      <w:lang w:val="it-IT" w:eastAsia="it-IT" w:bidi="ar-SA"/>
    </w:rPr>
  </w:style>
  <w:style w:type="paragraph" w:styleId="Heading2">
    <w:name w:val="heading 2"/>
    <w:uiPriority w:val="9"/>
    <w:semiHidden/>
    <w:unhideWhenUsed/>
    <w:qFormat/>
    <w:pPr>
      <w:widowControl/>
      <w:suppressAutoHyphens w:val="true"/>
      <w:bidi w:val="0"/>
      <w:spacing w:before="0" w:after="0"/>
      <w:jc w:val="start"/>
      <w:outlineLvl w:val="1"/>
    </w:pPr>
    <w:rPr>
      <w:rFonts w:ascii="Calibri" w:hAnsi="Calibri" w:eastAsia="Calibri" w:cs="Calibri"/>
      <w:color w:val="2E74B5"/>
      <w:kern w:val="0"/>
      <w:sz w:val="26"/>
      <w:szCs w:val="26"/>
      <w:lang w:val="it-IT" w:eastAsia="it-IT" w:bidi="ar-SA"/>
    </w:rPr>
  </w:style>
  <w:style w:type="paragraph" w:styleId="Heading3">
    <w:name w:val="heading 3"/>
    <w:uiPriority w:val="9"/>
    <w:semiHidden/>
    <w:unhideWhenUsed/>
    <w:qFormat/>
    <w:pPr>
      <w:widowControl/>
      <w:suppressAutoHyphens w:val="true"/>
      <w:bidi w:val="0"/>
      <w:spacing w:before="0" w:after="0"/>
      <w:jc w:val="start"/>
      <w:outlineLvl w:val="2"/>
    </w:pPr>
    <w:rPr>
      <w:rFonts w:ascii="Calibri" w:hAnsi="Calibri" w:eastAsia="Calibri" w:cs="Calibri"/>
      <w:color w:val="1F4D78"/>
      <w:kern w:val="0"/>
      <w:sz w:val="24"/>
      <w:szCs w:val="24"/>
      <w:lang w:val="it-IT" w:eastAsia="it-IT" w:bidi="ar-SA"/>
    </w:rPr>
  </w:style>
  <w:style w:type="paragraph" w:styleId="Heading4">
    <w:name w:val="heading 4"/>
    <w:uiPriority w:val="9"/>
    <w:semiHidden/>
    <w:unhideWhenUsed/>
    <w:qFormat/>
    <w:pPr>
      <w:widowControl/>
      <w:suppressAutoHyphens w:val="true"/>
      <w:bidi w:val="0"/>
      <w:spacing w:before="0" w:after="0"/>
      <w:jc w:val="start"/>
      <w:outlineLvl w:val="3"/>
    </w:pPr>
    <w:rPr>
      <w:rFonts w:ascii="Calibri" w:hAnsi="Calibri" w:eastAsia="Calibri" w:cs="Calibri"/>
      <w:i/>
      <w:iCs/>
      <w:color w:val="2E74B5"/>
      <w:kern w:val="0"/>
      <w:sz w:val="22"/>
      <w:szCs w:val="22"/>
      <w:lang w:val="it-IT" w:eastAsia="it-IT" w:bidi="ar-SA"/>
    </w:rPr>
  </w:style>
  <w:style w:type="paragraph" w:styleId="Heading5">
    <w:name w:val="heading 5"/>
    <w:uiPriority w:val="9"/>
    <w:semiHidden/>
    <w:unhideWhenUsed/>
    <w:qFormat/>
    <w:pPr>
      <w:widowControl/>
      <w:suppressAutoHyphens w:val="true"/>
      <w:bidi w:val="0"/>
      <w:spacing w:before="0" w:after="0"/>
      <w:jc w:val="start"/>
      <w:outlineLvl w:val="4"/>
    </w:pPr>
    <w:rPr>
      <w:rFonts w:ascii="Calibri" w:hAnsi="Calibri" w:eastAsia="Calibri" w:cs="Calibri"/>
      <w:color w:val="2E74B5"/>
      <w:kern w:val="0"/>
      <w:sz w:val="22"/>
      <w:szCs w:val="22"/>
      <w:lang w:val="it-IT" w:eastAsia="it-IT" w:bidi="ar-SA"/>
    </w:rPr>
  </w:style>
  <w:style w:type="paragraph" w:styleId="Heading6">
    <w:name w:val="heading 6"/>
    <w:uiPriority w:val="9"/>
    <w:semiHidden/>
    <w:unhideWhenUsed/>
    <w:qFormat/>
    <w:pPr>
      <w:widowControl/>
      <w:suppressAutoHyphens w:val="true"/>
      <w:bidi w:val="0"/>
      <w:spacing w:before="0" w:after="0"/>
      <w:jc w:val="start"/>
      <w:outlineLvl w:val="5"/>
    </w:pPr>
    <w:rPr>
      <w:rFonts w:ascii="Calibri" w:hAnsi="Calibri" w:eastAsia="Calibri" w:cs="Calibri"/>
      <w:color w:val="1F4D78"/>
      <w:kern w:val="0"/>
      <w:sz w:val="22"/>
      <w:szCs w:val="22"/>
      <w:lang w:val="it-IT" w:eastAsia="it-IT" w:bidi="ar-SA"/>
    </w:rPr>
  </w:style>
  <w:style w:type="character" w:styleId="DefaultParagraphFont" w:default="1">
    <w:name w:val="Default Paragraph Font"/>
    <w:uiPriority w:val="1"/>
    <w:semiHidden/>
    <w:unhideWhenUsed/>
    <w:qFormat/>
    <w:rPr/>
  </w:style>
  <w:style w:type="character" w:styleId="Hyperlink">
    <w:name w:val="Hyperlink"/>
    <w:uiPriority w:val="99"/>
    <w:unhideWhenUsed/>
    <w:rPr>
      <w:color w:val="0563C1"/>
      <w:u w:val="single"/>
    </w:rPr>
  </w:style>
  <w:style w:type="character" w:styleId="FootnoteCharactersuser">
    <w:name w:val="Footnote Characters (user)"/>
    <w:uiPriority w:val="99"/>
    <w:semiHidden/>
    <w:unhideWhenUsed/>
    <w:qFormat/>
    <w:rPr>
      <w:vertAlign w:val="superscript"/>
    </w:rPr>
  </w:style>
  <w:style w:type="character" w:styleId="FootnoteCharacters">
    <w:name w:val="Footnote Characters"/>
    <w:qFormat/>
    <w:rPr>
      <w:vertAlign w:val="superscript"/>
    </w:rPr>
  </w:style>
  <w:style w:type="character" w:styleId="FootnoteReference">
    <w:name w:val="footnote reference"/>
    <w:rPr>
      <w:vertAlign w:val="superscript"/>
    </w:rPr>
  </w:style>
  <w:style w:type="character" w:styleId="TestonotaapidipaginaCarattere" w:customStyle="1">
    <w:name w:val="Testo nota a piè di pagina Carattere"/>
    <w:link w:val="FootnoteText"/>
    <w:uiPriority w:val="99"/>
    <w:semiHidden/>
    <w:unhideWhenUsed/>
    <w:qFormat/>
    <w:rPr>
      <w:sz w:val="20"/>
      <w:szCs w:val="20"/>
    </w:rPr>
  </w:style>
  <w:style w:type="character" w:styleId="EndnoteCharactersuser">
    <w:name w:val="Endnote Characters (user)"/>
    <w:uiPriority w:val="99"/>
    <w:semiHidden/>
    <w:unhideWhenUsed/>
    <w:qFormat/>
    <w:rPr>
      <w:vertAlign w:val="superscript"/>
    </w:rPr>
  </w:style>
  <w:style w:type="character" w:styleId="EndnoteCharacters">
    <w:name w:val="Endnote Characters"/>
    <w:qFormat/>
    <w:rPr>
      <w:vertAlign w:val="superscript"/>
    </w:rPr>
  </w:style>
  <w:style w:type="character" w:styleId="EndnoteReference">
    <w:name w:val="endnote reference"/>
    <w:rPr>
      <w:vertAlign w:val="superscript"/>
    </w:rPr>
  </w:style>
  <w:style w:type="character" w:styleId="TestonotadichiusuraCarattere" w:customStyle="1">
    <w:name w:val="Testo nota di chiusura Carattere"/>
    <w:link w:val="EndnoteText"/>
    <w:uiPriority w:val="99"/>
    <w:semiHidden/>
    <w:unhideWhenUsed/>
    <w:qFormat/>
    <w:rPr>
      <w:sz w:val="20"/>
      <w:szCs w:val="20"/>
    </w:rPr>
  </w:style>
  <w:style w:type="character" w:styleId="IntestazioneCarattere" w:customStyle="1">
    <w:name w:val="Intestazione Carattere"/>
    <w:basedOn w:val="DefaultParagraphFont"/>
    <w:link w:val="Header"/>
    <w:uiPriority w:val="99"/>
    <w:qFormat/>
    <w:rsid w:val="00a9219b"/>
    <w:rPr/>
  </w:style>
  <w:style w:type="character" w:styleId="PidipaginaCarattere" w:customStyle="1">
    <w:name w:val="Piè di pagina Carattere"/>
    <w:basedOn w:val="DefaultParagraphFont"/>
    <w:link w:val="Footer"/>
    <w:uiPriority w:val="99"/>
    <w:qFormat/>
    <w:rsid w:val="00a9219b"/>
    <w:rPr/>
  </w:style>
  <w:style w:type="character" w:styleId="CorpotestoCarattere" w:customStyle="1">
    <w:name w:val="Corpo testo Carattere"/>
    <w:basedOn w:val="DefaultParagraphFont"/>
    <w:qFormat/>
    <w:rsid w:val="00a9219b"/>
    <w:rPr>
      <w:rFonts w:ascii="Liberation Serif" w:hAnsi="Liberation Serif" w:eastAsia="SimSun" w:cs="Lucida Sans"/>
      <w:kern w:val="2"/>
      <w:sz w:val="24"/>
      <w:szCs w:val="24"/>
      <w:lang w:eastAsia="zh-CN" w:bidi="hi-IN"/>
    </w:rPr>
  </w:style>
  <w:style w:type="character" w:styleId="UnresolvedMention">
    <w:name w:val="Unresolved Mention"/>
    <w:basedOn w:val="DefaultParagraphFont"/>
    <w:uiPriority w:val="99"/>
    <w:semiHidden/>
    <w:unhideWhenUsed/>
    <w:qFormat/>
    <w:rsid w:val="00a9219b"/>
    <w:rPr>
      <w:color w:val="605E5C"/>
      <w:shd w:fill="E1DFDD" w:val="clear"/>
    </w:rPr>
  </w:style>
  <w:style w:type="paragraph" w:styleId="Heading">
    <w:name w:val="Heading"/>
    <w:basedOn w:val="Normal"/>
    <w:next w:val="BodyText"/>
    <w:qFormat/>
    <w:pPr>
      <w:keepNext w:val="true"/>
      <w:spacing w:before="240" w:after="120"/>
    </w:pPr>
    <w:rPr>
      <w:rFonts w:ascii="Liberation Sans" w:hAnsi="Liberation Sans" w:eastAsia="PingFang SC" w:cs="Lucida Sans"/>
      <w:sz w:val="28"/>
      <w:szCs w:val="28"/>
    </w:rPr>
  </w:style>
  <w:style w:type="paragraph" w:styleId="BodyText">
    <w:name w:val="Body Text"/>
    <w:basedOn w:val="Normal"/>
    <w:link w:val="CorpotestoCarattere"/>
    <w:rsid w:val="00a9219b"/>
    <w:pPr>
      <w:suppressAutoHyphens w:val="true"/>
      <w:spacing w:lineRule="auto" w:line="276" w:before="0" w:after="140"/>
    </w:pPr>
    <w:rPr>
      <w:rFonts w:ascii="Liberation Serif" w:hAnsi="Liberation Serif" w:eastAsia="SimSun" w:cs="Lucida Sans"/>
      <w:kern w:val="2"/>
      <w:sz w:val="24"/>
      <w:szCs w:val="24"/>
      <w:lang w:eastAsia="zh-CN" w:bidi="hi-IN"/>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uiPriority w:val="10"/>
    <w:qFormat/>
    <w:pPr>
      <w:widowControl/>
      <w:suppressAutoHyphens w:val="true"/>
      <w:bidi w:val="0"/>
      <w:spacing w:before="0" w:after="0"/>
      <w:jc w:val="start"/>
    </w:pPr>
    <w:rPr>
      <w:rFonts w:ascii="Calibri" w:hAnsi="Calibri" w:eastAsia="Calibri" w:cs="Calibri"/>
      <w:color w:val="auto"/>
      <w:kern w:val="0"/>
      <w:sz w:val="56"/>
      <w:szCs w:val="56"/>
      <w:lang w:val="it-IT" w:eastAsia="it-IT" w:bidi="ar-SA"/>
    </w:rPr>
  </w:style>
  <w:style w:type="paragraph" w:styleId="Enfasigrassetto1" w:customStyle="1">
    <w:name w:val="Enfasi (grassetto)1"/>
    <w:qFormat/>
    <w:pPr>
      <w:widowControl/>
      <w:suppressAutoHyphens w:val="true"/>
      <w:bidi w:val="0"/>
      <w:spacing w:before="0" w:after="0"/>
      <w:jc w:val="start"/>
    </w:pPr>
    <w:rPr>
      <w:rFonts w:ascii="Calibri" w:hAnsi="Calibri" w:eastAsia="Calibri" w:cs="Calibri"/>
      <w:b/>
      <w:bCs/>
      <w:color w:val="auto"/>
      <w:kern w:val="0"/>
      <w:sz w:val="22"/>
      <w:szCs w:val="22"/>
      <w:lang w:val="it-IT" w:eastAsia="it-IT" w:bidi="ar-SA"/>
    </w:rPr>
  </w:style>
  <w:style w:type="paragraph" w:styleId="ListParagraph">
    <w:name w:val="List Paragraph"/>
    <w:qFormat/>
    <w:pPr>
      <w:widowControl/>
      <w:suppressAutoHyphens w:val="true"/>
      <w:bidi w:val="0"/>
      <w:spacing w:before="0" w:after="0"/>
      <w:jc w:val="start"/>
    </w:pPr>
    <w:rPr>
      <w:rFonts w:ascii="Calibri" w:hAnsi="Calibri" w:eastAsia="Calibri" w:cs="Calibri"/>
      <w:color w:val="auto"/>
      <w:kern w:val="0"/>
      <w:sz w:val="22"/>
      <w:szCs w:val="22"/>
      <w:lang w:val="it-IT" w:eastAsia="it-IT" w:bidi="ar-SA"/>
    </w:rPr>
  </w:style>
  <w:style w:type="paragraph" w:styleId="FootnoteText">
    <w:name w:val="footnote text"/>
    <w:link w:val="TestonotaapidipaginaCarattere"/>
    <w:uiPriority w:val="99"/>
    <w:semiHidden/>
    <w:unhideWhenUsed/>
    <w:pPr>
      <w:widowControl/>
      <w:suppressAutoHyphens w:val="true"/>
      <w:bidi w:val="0"/>
      <w:spacing w:before="0" w:after="0"/>
      <w:jc w:val="start"/>
    </w:pPr>
    <w:rPr>
      <w:rFonts w:ascii="Calibri" w:hAnsi="Calibri" w:eastAsia="Calibri" w:cs="Calibri"/>
      <w:color w:val="auto"/>
      <w:kern w:val="0"/>
      <w:sz w:val="20"/>
      <w:szCs w:val="20"/>
      <w:lang w:val="it-IT" w:eastAsia="it-IT" w:bidi="ar-SA"/>
    </w:rPr>
  </w:style>
  <w:style w:type="paragraph" w:styleId="EndnoteText">
    <w:name w:val="endnote text"/>
    <w:link w:val="TestonotadichiusuraCarattere"/>
    <w:uiPriority w:val="99"/>
    <w:semiHidden/>
    <w:unhideWhenUsed/>
    <w:pPr>
      <w:widowControl/>
      <w:suppressAutoHyphens w:val="true"/>
      <w:bidi w:val="0"/>
      <w:spacing w:before="0" w:after="0"/>
      <w:jc w:val="start"/>
    </w:pPr>
    <w:rPr>
      <w:rFonts w:ascii="Calibri" w:hAnsi="Calibri" w:eastAsia="Calibri" w:cs="Calibri"/>
      <w:color w:val="auto"/>
      <w:kern w:val="0"/>
      <w:sz w:val="20"/>
      <w:szCs w:val="20"/>
      <w:lang w:val="it-IT" w:eastAsia="it-IT" w:bidi="ar-SA"/>
    </w:rPr>
  </w:style>
  <w:style w:type="paragraph" w:styleId="HeaderandFooter">
    <w:name w:val="Header and Footer"/>
    <w:basedOn w:val="Normal"/>
    <w:qFormat/>
    <w:pPr/>
    <w:rPr/>
  </w:style>
  <w:style w:type="paragraph" w:styleId="Header">
    <w:name w:val="header"/>
    <w:basedOn w:val="Normal"/>
    <w:link w:val="IntestazioneCarattere"/>
    <w:uiPriority w:val="99"/>
    <w:unhideWhenUsed/>
    <w:rsid w:val="00a9219b"/>
    <w:pPr>
      <w:tabs>
        <w:tab w:val="clear" w:pos="708"/>
        <w:tab w:val="center" w:pos="4819" w:leader="none"/>
        <w:tab w:val="right" w:pos="9638" w:leader="none"/>
      </w:tabs>
    </w:pPr>
    <w:rPr/>
  </w:style>
  <w:style w:type="paragraph" w:styleId="Footer">
    <w:name w:val="footer"/>
    <w:basedOn w:val="Normal"/>
    <w:link w:val="PidipaginaCarattere"/>
    <w:uiPriority w:val="99"/>
    <w:unhideWhenUsed/>
    <w:rsid w:val="00a9219b"/>
    <w:pPr>
      <w:tabs>
        <w:tab w:val="clear" w:pos="708"/>
        <w:tab w:val="center" w:pos="4819" w:leader="none"/>
        <w:tab w:val="right" w:pos="9638" w:leader="none"/>
      </w:tabs>
    </w:pPr>
    <w:rPr/>
  </w:style>
  <w:style w:type="paragraph" w:styleId="PreformattedText">
    <w:name w:val="Preformatted Text"/>
    <w:basedOn w:val="Normal"/>
    <w:qFormat/>
    <w:pPr>
      <w:spacing w:before="0" w:after="0"/>
    </w:pPr>
    <w:rPr>
      <w:rFonts w:ascii="Liberation Mono" w:hAnsi="Liberation Mono" w:eastAsia="Liberation Mono" w:cs="Liberation Mono"/>
      <w:sz w:val="20"/>
      <w:szCs w:val="20"/>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dinko.fabris@unibas.it" TargetMode="External"/><Relationship Id="rId3" Type="http://schemas.openxmlformats.org/officeDocument/2006/relationships/hyperlink" Target="mailto:mdeluca@unict" TargetMode="External"/><Relationship Id="rId4" Type="http://schemas.openxmlformats.org/officeDocument/2006/relationships/hyperlink" Target="mailto:vania.cauzillo@unibas.it"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Relationship Id="rId3" Type="http://schemas.openxmlformats.org/officeDocument/2006/relationships/image" Target="media/image3.png"/>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Relationship Id="rId3" Type="http://schemas.openxmlformats.org/officeDocument/2006/relationships/image" Target="media/image3.png"/>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17</TotalTime>
  <Application>LibreOffice/26.2.1.2$MacOSX_AARCH64 LibreOffice_project/8399f6259d8c87f40e7255cdb3c9b958f5e08948</Application>
  <AppVersion>15.0000</AppVersion>
  <Pages>2</Pages>
  <Words>661</Words>
  <Characters>3710</Characters>
  <CharactersWithSpaces>4406</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2026-08-21T15:42:00Z</dcterms:created>
  <dc:creator>Un-named</dc:creator>
  <dc:description/>
  <dc:language>it-IT</dc:language>
  <cp:lastModifiedBy/>
  <dcterms:modified xsi:type="dcterms:W3CDTF">2026-08-25T12:48:12Z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